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23" w:rsidRPr="00EF1C23" w:rsidRDefault="00EF1C23" w:rsidP="00EF1C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рабочей программы дисциплины </w:t>
      </w:r>
    </w:p>
    <w:p w:rsidR="00EF1C23" w:rsidRPr="00EF1C23" w:rsidRDefault="00EF1C23" w:rsidP="00EF1C2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EF1C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Pr="00EF1C23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u w:val="single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8"/>
          <w:u w:val="single"/>
          <w:lang w:eastAsia="zh-CN"/>
        </w:rPr>
        <w:t>х</w:t>
      </w:r>
      <w:r w:rsidRPr="00EF1C23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u w:val="single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8"/>
          <w:u w:val="single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u w:val="single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8"/>
          <w:u w:val="single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u w:val="single"/>
          <w:lang w:eastAsia="zh-CN"/>
        </w:rPr>
        <w:t>г</w:t>
      </w:r>
      <w:r w:rsidRPr="00EF1C23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u w:val="single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и </w:t>
      </w:r>
      <w:r w:rsidRPr="00EF1C23">
        <w:rPr>
          <w:rFonts w:ascii="Times New Roman" w:eastAsia="Times New Roman" w:hAnsi="Times New Roman" w:cs="Times New Roman"/>
          <w:i/>
          <w:color w:val="000000"/>
          <w:spacing w:val="11"/>
          <w:sz w:val="28"/>
          <w:szCs w:val="28"/>
          <w:u w:val="single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эффе</w:t>
      </w:r>
      <w:r w:rsidRPr="00EF1C23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8"/>
          <w:u w:val="single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u w:val="single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8"/>
          <w:u w:val="single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u w:val="single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8"/>
          <w:u w:val="single"/>
          <w:lang w:eastAsia="zh-CN"/>
        </w:rPr>
        <w:t>но</w:t>
      </w:r>
      <w:r w:rsidRPr="00EF1C23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u w:val="single"/>
          <w:lang w:eastAsia="zh-CN"/>
        </w:rPr>
        <w:t>г</w:t>
      </w:r>
      <w:r w:rsidRPr="00EF1C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о </w:t>
      </w:r>
      <w:r w:rsidRPr="00EF1C23">
        <w:rPr>
          <w:rFonts w:ascii="Times New Roman" w:eastAsia="Times New Roman" w:hAnsi="Times New Roman" w:cs="Times New Roman"/>
          <w:i/>
          <w:color w:val="000000"/>
          <w:spacing w:val="12"/>
          <w:sz w:val="28"/>
          <w:szCs w:val="28"/>
          <w:u w:val="single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м</w:t>
      </w:r>
      <w:r w:rsidRPr="00EF1C23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u w:val="single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8"/>
          <w:u w:val="single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u w:val="single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жм</w:t>
      </w:r>
      <w:r w:rsidRPr="00EF1C23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u w:val="single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8"/>
          <w:u w:val="single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i/>
          <w:color w:val="000000"/>
          <w:spacing w:val="8"/>
          <w:sz w:val="28"/>
          <w:szCs w:val="28"/>
          <w:u w:val="single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EF1C23" w:rsidRPr="00EF1C23" w:rsidRDefault="00EF1C23" w:rsidP="00EF1C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EF1C23" w:rsidRPr="00EF1C23" w:rsidRDefault="00EF1C23" w:rsidP="00EF1C2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38.04.06 Торговое дело </w:t>
      </w:r>
    </w:p>
    <w:p w:rsidR="00EF1C23" w:rsidRPr="00EF1C23" w:rsidRDefault="00EF1C23" w:rsidP="00EF1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Магистерская программа:  «Стратегии и инновации в коммерции</w:t>
      </w:r>
      <w:r w:rsidRPr="00EF1C23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»</w:t>
      </w:r>
    </w:p>
    <w:p w:rsidR="00EF1C23" w:rsidRPr="00EF1C23" w:rsidRDefault="00EF1C23" w:rsidP="00EF1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ВО по направлению </w:t>
      </w:r>
      <w:r w:rsidRPr="00EF1C23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38.04.06 Торговое дело</w:t>
      </w:r>
    </w:p>
    <w:p w:rsidR="00EF1C23" w:rsidRPr="00EF1C23" w:rsidRDefault="00EF1C23" w:rsidP="00EF1C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цип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 </w:t>
      </w:r>
      <w:r w:rsidRPr="00EF1C23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zh-CN"/>
        </w:rPr>
        <w:t>«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х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г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 </w:t>
      </w:r>
      <w:r w:rsidRPr="00EF1C2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эффе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но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г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 </w:t>
      </w:r>
      <w:r w:rsidRPr="00EF1C2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</w:t>
      </w:r>
      <w:r w:rsidRPr="00EF1C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жм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» </w:t>
      </w:r>
      <w:r w:rsidRPr="00EF1C2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тся </w:t>
      </w:r>
      <w:r w:rsidRPr="00EF1C23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 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ой</w:t>
      </w:r>
      <w:r w:rsidRPr="00EF1C2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час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щ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на</w:t>
      </w:r>
      <w:r w:rsidRPr="00EF1C2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ч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ого</w:t>
      </w:r>
      <w:r w:rsidRPr="00EF1C2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цик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</w:p>
    <w:p w:rsidR="00EF1C23" w:rsidRPr="00EF1C23" w:rsidRDefault="00EF1C23" w:rsidP="00EF1C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сц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ип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 о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ы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тся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зн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ющ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х д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ц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  <w:r w:rsidRPr="00EF1C2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  <w:lang w:eastAsia="zh-CN"/>
        </w:rPr>
        <w:t xml:space="preserve"> </w:t>
      </w:r>
    </w:p>
    <w:p w:rsidR="00EF1C23" w:rsidRPr="00EF1C23" w:rsidRDefault="00EF1C23" w:rsidP="00EF1C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zh-CN"/>
        </w:rPr>
        <w:t>Б1.В.ОД.1.1 «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лов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ы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на</w:t>
      </w:r>
      <w:r w:rsidRPr="00EF1C2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ч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ые</w:t>
      </w:r>
      <w:r w:rsidRPr="00EF1C23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</w:t>
      </w:r>
      <w:r w:rsidRPr="00EF1C2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zh-CN"/>
        </w:rPr>
        <w:t>м</w:t>
      </w:r>
      <w:r w:rsidRPr="00EF1C2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никаци</w:t>
      </w:r>
      <w:r w:rsidRPr="00EF1C2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zh-CN"/>
        </w:rPr>
        <w:t>»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 </w:t>
      </w:r>
    </w:p>
    <w:p w:rsidR="00EF1C23" w:rsidRPr="00EF1C23" w:rsidRDefault="00EF1C23" w:rsidP="00EF1C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Изучение дисциплины необходимо для дальнейшего изучения </w:t>
      </w:r>
      <w:r w:rsidRPr="00EF1C23">
        <w:rPr>
          <w:rFonts w:ascii="Times New Roman" w:eastAsia="Calibri" w:hAnsi="Times New Roman" w:cs="Times New Roman"/>
          <w:spacing w:val="4"/>
          <w:sz w:val="28"/>
          <w:szCs w:val="28"/>
          <w:lang w:eastAsia="zh-CN"/>
        </w:rPr>
        <w:t>следующих дисциплин:</w:t>
      </w:r>
    </w:p>
    <w:p w:rsidR="00EF1C23" w:rsidRPr="00EF1C23" w:rsidRDefault="00EF1C23" w:rsidP="00EF1C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spacing w:val="4"/>
          <w:sz w:val="28"/>
          <w:szCs w:val="28"/>
          <w:lang w:eastAsia="zh-CN"/>
        </w:rPr>
        <w:t>Б1.В.ОД.3 «Современные технологии в оптовой торговле»;</w:t>
      </w:r>
    </w:p>
    <w:p w:rsidR="00EF1C23" w:rsidRPr="00EF1C23" w:rsidRDefault="00EF1C23" w:rsidP="00EF1C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spacing w:val="4"/>
          <w:sz w:val="28"/>
          <w:szCs w:val="28"/>
          <w:lang w:eastAsia="zh-CN"/>
        </w:rPr>
        <w:t xml:space="preserve">Б1.В.ОД.7«Стратегическое управление коммерческой деятельностью»; </w:t>
      </w:r>
    </w:p>
    <w:p w:rsidR="00EF1C23" w:rsidRPr="00EF1C23" w:rsidRDefault="00EF1C23" w:rsidP="00EF1C23">
      <w:pPr>
        <w:keepNext/>
        <w:keepLines/>
        <w:spacing w:after="0" w:line="240" w:lineRule="auto"/>
        <w:outlineLvl w:val="1"/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lang w:eastAsia="zh-CN"/>
        </w:rPr>
      </w:pPr>
      <w:bookmarkStart w:id="0" w:name="_Toc43727970"/>
      <w:bookmarkStart w:id="1" w:name="_Toc339543312"/>
      <w:bookmarkStart w:id="2" w:name="_Toc410735567"/>
      <w:bookmarkStart w:id="3" w:name="_Toc410735569"/>
      <w:r w:rsidRPr="00EF1C23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lang w:eastAsia="zh-CN"/>
        </w:rPr>
        <w:t xml:space="preserve">Цель </w:t>
      </w:r>
      <w:bookmarkEnd w:id="0"/>
      <w:r w:rsidRPr="00EF1C23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lang w:eastAsia="zh-CN"/>
        </w:rPr>
        <w:t>дисциплины</w:t>
      </w:r>
      <w:bookmarkEnd w:id="1"/>
      <w:bookmarkEnd w:id="2"/>
    </w:p>
    <w:bookmarkEnd w:id="3"/>
    <w:p w:rsidR="00EF1C23" w:rsidRPr="00EF1C23" w:rsidRDefault="00EF1C23" w:rsidP="00EF1C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з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ю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чае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тся</w:t>
      </w:r>
      <w:r w:rsidRPr="00EF1C2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теор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чес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х</w:t>
      </w:r>
      <w:r w:rsidRPr="00EF1C2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зн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ани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й</w:t>
      </w:r>
      <w:r w:rsidRPr="00EF1C2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овн</w:t>
      </w:r>
      <w:r w:rsidRPr="00EF1C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zh-CN"/>
        </w:rPr>
        <w:t>ы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х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чес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х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ы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ов 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обла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ти</w:t>
      </w:r>
      <w:r w:rsidRPr="00EF1C2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х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й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 xml:space="preserve"> э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ф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ек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г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ме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не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жм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та</w:t>
      </w:r>
    </w:p>
    <w:p w:rsidR="00EF1C23" w:rsidRPr="00EF1C23" w:rsidRDefault="00EF1C23" w:rsidP="00EF1C2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zh-CN"/>
        </w:rPr>
        <w:t>Уче</w:t>
      </w:r>
      <w:r w:rsidRPr="00EF1C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б</w:t>
      </w:r>
      <w:r w:rsidRPr="00EF1C23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ые</w:t>
      </w:r>
      <w:r w:rsidRPr="00EF1C23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задачи </w:t>
      </w:r>
      <w:r w:rsidRPr="00EF1C23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zh-CN"/>
        </w:rPr>
        <w:t>ди</w:t>
      </w:r>
      <w:r w:rsidRPr="00EF1C23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zh-CN"/>
        </w:rPr>
        <w:t>цип</w:t>
      </w:r>
      <w:r w:rsidRPr="00EF1C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ли</w:t>
      </w:r>
      <w:r w:rsidRPr="00EF1C23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ы:</w:t>
      </w:r>
    </w:p>
    <w:p w:rsidR="00EF1C23" w:rsidRPr="00EF1C23" w:rsidRDefault="00EF1C23" w:rsidP="00EF1C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•р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ть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та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 об о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тях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тратегич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ого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вл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я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 орг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низ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ац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й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</w:t>
      </w:r>
      <w:r w:rsidRPr="00EF1C2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лов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ях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таб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ь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й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 б</w:t>
      </w:r>
      <w:r w:rsidRPr="00EF1C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zh-CN"/>
        </w:rPr>
        <w:t>ы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из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яющ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й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 вн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й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ды;</w:t>
      </w:r>
    </w:p>
    <w:p w:rsidR="00EF1C23" w:rsidRPr="00EF1C23" w:rsidRDefault="00EF1C23" w:rsidP="00EF1C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•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ти</w:t>
      </w:r>
      <w:r w:rsidRPr="00EF1C2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овр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еме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ые теор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чес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е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зн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чес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е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ы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 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 во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з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ник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ю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щ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х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з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ож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тей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ц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гроз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ю;</w:t>
      </w:r>
    </w:p>
    <w:p w:rsidR="00EF1C23" w:rsidRPr="00EF1C23" w:rsidRDefault="00EF1C23" w:rsidP="00EF1C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•в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ы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ть</w:t>
      </w:r>
      <w:r w:rsidRPr="00EF1C2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м</w:t>
      </w:r>
      <w:r w:rsidRPr="00EF1C2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ть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ис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ц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 о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ове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тратегич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ого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из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EF1C23" w:rsidRPr="00EF1C23" w:rsidRDefault="00EF1C23" w:rsidP="00EF1C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•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zh-CN"/>
        </w:rPr>
        <w:t>з</w:t>
      </w:r>
      <w:r w:rsidRPr="00EF1C2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ч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ть</w:t>
      </w:r>
      <w:r w:rsidRPr="00EF1C2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воз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ож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ые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ты</w:t>
      </w:r>
      <w:r w:rsidRPr="00EF1C2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тратеги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й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ы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з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тк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тратегич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х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ь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тер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и 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ы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бора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 xml:space="preserve"> 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й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тратегии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орг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иза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ции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EF1C23" w:rsidRPr="00EF1C23" w:rsidRDefault="00EF1C23" w:rsidP="00EF1C2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•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ть </w:t>
      </w:r>
      <w:r w:rsidRPr="00EF1C2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чес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е </w:t>
      </w:r>
      <w:r w:rsidRPr="00EF1C23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ы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 </w:t>
      </w:r>
      <w:r w:rsidRPr="00EF1C2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з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тк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 </w:t>
      </w:r>
      <w:r w:rsidRPr="00EF1C2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й </w:t>
      </w:r>
      <w:r w:rsidRPr="00EF1C2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 </w:t>
      </w:r>
      <w:r w:rsidRPr="00EF1C23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из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ци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</w:p>
    <w:p w:rsidR="00EF1C23" w:rsidRPr="00EF1C23" w:rsidRDefault="00EF1C23" w:rsidP="00EF1C2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тратегии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ч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том воз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ож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ти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рот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вл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ен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я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из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ме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ен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EF1C23" w:rsidRPr="00EF1C23" w:rsidRDefault="00EF1C23" w:rsidP="00EF1C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•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zh-CN"/>
        </w:rPr>
        <w:t>з</w:t>
      </w:r>
      <w:r w:rsidRPr="00EF1C2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zh-CN"/>
        </w:rPr>
        <w:t>у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ч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ть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ме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ы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тратегич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ого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тро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з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тк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т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 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к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н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тро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 р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еа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из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а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ци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</w:t>
      </w:r>
      <w:r w:rsidRPr="00EF1C2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с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тратег</w:t>
      </w:r>
      <w:r w:rsidRPr="00EF1C2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EF1C23" w:rsidRPr="00EF1C23" w:rsidRDefault="00EF1C23" w:rsidP="00EF1C23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Для успешного освоения дисциплины студент должен:</w:t>
      </w:r>
    </w:p>
    <w:p w:rsidR="00EF1C23" w:rsidRPr="00EF1C23" w:rsidRDefault="00EF1C23" w:rsidP="00EF1C23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Знать:</w:t>
      </w:r>
    </w:p>
    <w:p w:rsidR="00EF1C23" w:rsidRPr="00EF1C23" w:rsidRDefault="00EF1C23" w:rsidP="00EF1C23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−</w:t>
      </w: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ab/>
        <w:t>способностью свободно пользоваться русским и  иностранным языками   как средством делового общения;</w:t>
      </w:r>
    </w:p>
    <w:p w:rsidR="00EF1C23" w:rsidRPr="00EF1C23" w:rsidRDefault="00EF1C23" w:rsidP="00EF1C23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Уметь:</w:t>
      </w:r>
    </w:p>
    <w:p w:rsidR="00EF1C23" w:rsidRPr="00EF1C23" w:rsidRDefault="00EF1C23" w:rsidP="00EF1C23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− действовать в нестандартных ситуациях, нести   социальную и этическую ответственность за принятие решений;</w:t>
      </w:r>
    </w:p>
    <w:p w:rsidR="00EF1C23" w:rsidRPr="00EF1C23" w:rsidRDefault="00EF1C23" w:rsidP="00EF1C23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Владеть навыками:</w:t>
      </w:r>
    </w:p>
    <w:p w:rsidR="00EF1C23" w:rsidRPr="00EF1C23" w:rsidRDefault="00EF1C23" w:rsidP="00EF1C23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− самостоятельно приобретать и использовать новые знания и умения;</w:t>
      </w:r>
    </w:p>
    <w:p w:rsidR="00EF1C23" w:rsidRPr="00EF1C23" w:rsidRDefault="00EF1C23" w:rsidP="00EF1C2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−</w:t>
      </w: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ab/>
        <w:t>способностью свободно пользоваться русским и  иностранным   языками как средством делового общения.</w:t>
      </w:r>
    </w:p>
    <w:p w:rsidR="00EF1C23" w:rsidRPr="00EF1C23" w:rsidRDefault="00EF1C23" w:rsidP="00EF1C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Процесс изучения дисциплины направлен на формирование следующих компетенций:</w:t>
      </w:r>
    </w:p>
    <w:p w:rsidR="00EF1C23" w:rsidRPr="00EF1C23" w:rsidRDefault="00EF1C23" w:rsidP="00EF1C2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Общекультурных компетенций:</w:t>
      </w:r>
    </w:p>
    <w:p w:rsidR="00EF1C23" w:rsidRPr="00EF1C23" w:rsidRDefault="00EF1C23" w:rsidP="00EF1C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C23">
        <w:rPr>
          <w:rFonts w:ascii="Times New Roman" w:eastAsia="Calibri" w:hAnsi="Times New Roman" w:cs="Times New Roman"/>
          <w:sz w:val="28"/>
          <w:szCs w:val="28"/>
        </w:rPr>
        <w:t>ОК-3-готовностью к саморазвитию, самореализации, использованию творческого потенциала;</w:t>
      </w:r>
    </w:p>
    <w:p w:rsidR="00EF1C23" w:rsidRPr="00EF1C23" w:rsidRDefault="00EF1C23" w:rsidP="00EF1C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C23">
        <w:rPr>
          <w:rFonts w:ascii="Times New Roman" w:eastAsia="Calibri" w:hAnsi="Times New Roman" w:cs="Times New Roman"/>
          <w:sz w:val="28"/>
          <w:szCs w:val="28"/>
        </w:rPr>
        <w:t>ОК-7- способностью адаптироваться к новым ситуациям, переоценке накопленного опыта, анализу своих возможностей;</w:t>
      </w:r>
    </w:p>
    <w:p w:rsidR="00EF1C23" w:rsidRPr="00EF1C23" w:rsidRDefault="00EF1C23" w:rsidP="00EF1C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C23">
        <w:rPr>
          <w:rFonts w:ascii="Times New Roman" w:eastAsia="Calibri" w:hAnsi="Times New Roman" w:cs="Times New Roman"/>
          <w:sz w:val="28"/>
          <w:szCs w:val="28"/>
        </w:rPr>
        <w:t>ОК-9)-готовностью к самостоятельной работе с использованием знаний, умений и навыков, полученных на предшествующих уровнях образования; способность быть мобильным на рынке труда и подготовленным к продолжению образования в сфере дополнительного и послевузовского образования.</w:t>
      </w:r>
    </w:p>
    <w:p w:rsidR="00EF1C23" w:rsidRPr="00EF1C23" w:rsidRDefault="00EF1C23" w:rsidP="00EF1C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Общепрофессиональных компетенций:</w:t>
      </w:r>
    </w:p>
    <w:p w:rsidR="00EF1C23" w:rsidRPr="00EF1C23" w:rsidRDefault="00EF1C23" w:rsidP="00EF1C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C23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ОПК-2 - </w:t>
      </w:r>
      <w:r w:rsidRPr="00EF1C23">
        <w:rPr>
          <w:rFonts w:ascii="Times New Roman" w:eastAsia="Calibri" w:hAnsi="Times New Roman" w:cs="Times New Roman"/>
          <w:sz w:val="28"/>
          <w:szCs w:val="28"/>
        </w:rPr>
        <w:t>готовностью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различия.</w:t>
      </w:r>
    </w:p>
    <w:p w:rsidR="00EF1C23" w:rsidRPr="00EF1C23" w:rsidRDefault="00EF1C23" w:rsidP="00EF1C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Профессиональных компетенций:</w:t>
      </w:r>
    </w:p>
    <w:p w:rsidR="00EF1C23" w:rsidRPr="00EF1C23" w:rsidRDefault="00EF1C23" w:rsidP="00EF1C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ПК-3 - </w:t>
      </w:r>
      <w:r w:rsidRPr="00EF1C23">
        <w:rPr>
          <w:rFonts w:ascii="Times New Roman" w:eastAsia="Calibri" w:hAnsi="Times New Roman" w:cs="Times New Roman"/>
          <w:sz w:val="28"/>
          <w:szCs w:val="28"/>
        </w:rPr>
        <w:t>способностью анализировать технологический процесс как объект управления, организовывать работу персонала, находить и принимать управленческие решения в области профессиональной деятельности, систематизировать и обобщать информацию по формированию и использованию ресурсов предприятия.</w:t>
      </w:r>
    </w:p>
    <w:p w:rsidR="00EF1C23" w:rsidRPr="00EF1C23" w:rsidRDefault="00EF1C23" w:rsidP="00EF1C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Содержание разделов дисциплины</w:t>
      </w:r>
    </w:p>
    <w:p w:rsidR="00EF1C23" w:rsidRPr="00EF1C23" w:rsidRDefault="00EF1C23" w:rsidP="00EF1C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</w:p>
    <w:p w:rsidR="00EF1C23" w:rsidRPr="00EF1C23" w:rsidRDefault="00EF1C23" w:rsidP="00EF1C2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Раздел 1. Технологии эффективного менеджмента: сущность и содержание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Общая характеристика  управления. Этапы развития  стратегического подхода. Пять задач стратегического менеджмента: развитие стратегического видения и миссии; целеполагание; формирование стратегии; реализация стратегии; оценка реализации и внесение корректировок. Сущность  и  преимущества  стратегического мышления. Основные  категории  менеджмента: стратегическое и оперативное (тактическое) управление, внешняя и внутренняя среда организации, отрасль и бизнес организации, видение,  миссия, цели,  стратегия,  внедрение стратегии, стратегический контроль, организационная культура.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Взаимосвязь этики бизнеса и стратегии организации.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bCs/>
          <w:i/>
          <w:color w:val="000000"/>
          <w:spacing w:val="1"/>
          <w:sz w:val="28"/>
          <w:szCs w:val="28"/>
          <w:lang w:eastAsia="zh-CN"/>
        </w:rPr>
        <w:t xml:space="preserve">Формируемые компетенции: </w:t>
      </w:r>
      <w:r w:rsidRPr="00EF1C23"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  <w:t>ОК-3, ОК-7, ОК-9, ОПК-2, ПК-3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</w:pPr>
    </w:p>
    <w:p w:rsidR="00EF1C23" w:rsidRPr="00EF1C23" w:rsidRDefault="00EF1C23" w:rsidP="00EF1C2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Раздел 2. Методология целевого начала в системе эффективного менеджмента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 xml:space="preserve">Понятие и значение миссии организации. Направления формирования миссии. Методические рекомендации по формулированию миссии организации. Факторы, влияющие на содержание миссии организации. Цели организации, приоритеты целей, временные. интервалы    целей и их измерение. Основные направления формулирования целей: маркетинговый подход, подход на основе анализа и развития производительности  организации,  финансовый подход (рентабельность, доходность, инвестиционная привлекательность), инновационный подход, подход на основе социальных целей. «Дерево целей» организации как инструмент </w:t>
      </w:r>
      <w:proofErr w:type="spellStart"/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взаимосогласования</w:t>
      </w:r>
      <w:proofErr w:type="spellEnd"/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 xml:space="preserve"> и обеспечения непротиворечивости целей. Критерии оценки достижения стратегических целей организации.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Разработка стратегии компании. Иерархия формирования стратегии. Корпоративная стратегия. Стратегия бизнеса. Функциональная стратегия. Операционная стратегия.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Факторы, определяющие стратегию компании. Социальные, политические, правовые и гражданские факторы. Привлекательность отрасли и условия конкуренции. Рыночные возможности и угрозы. Сильные и слабые стороны организации и ее конкурентоспособность.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Подходы к формированию стратегии.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bCs/>
          <w:i/>
          <w:color w:val="000000"/>
          <w:spacing w:val="1"/>
          <w:sz w:val="28"/>
          <w:szCs w:val="28"/>
          <w:lang w:eastAsia="zh-CN"/>
        </w:rPr>
        <w:t xml:space="preserve">Формируемые компетенции: </w:t>
      </w:r>
      <w:r w:rsidRPr="00EF1C23"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  <w:t>ОК-3, ОК-7, ОК-9, ОПК-2, ПК-3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Раздел 3. Методы анализа стратегических факторов внешней среды</w:t>
      </w:r>
    </w:p>
    <w:p w:rsidR="00EF1C23" w:rsidRPr="00EF1C23" w:rsidRDefault="00EF1C23" w:rsidP="00EF1C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Основные составляющие и типы внешней среды. Цели ее анализа. Методы реагирования на изменения внешней  среды.  Основные  типы  внешнего окружения. Анализ макроокружения. Экономическая компонента. Правовая компонента. Политическая компонента.  Социальная  компонента. Технологическая компонента. Подходы к изучению компонент.   PEST-анализ   и   PEST-</w:t>
      </w:r>
      <w:proofErr w:type="spellStart"/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plus</w:t>
      </w:r>
      <w:proofErr w:type="spellEnd"/>
      <w:r w:rsidRPr="00EF1C23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 xml:space="preserve">   анализ   и порядок его проведения. Система отслеживания внешней среды. Анализ непосредственного окружения. Анализ отрасли. Основные показатели анализа отрасли. Модель «Пяти сил» М. Портера. Ключевые факторы успеха и их использование в системе стратегического управления.   Построение   стратегии   компании   на основе ключевых компетенций. Стратегические группы конкурентов.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/>
          <w:spacing w:val="1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bCs/>
          <w:i/>
          <w:color w:val="000000"/>
          <w:spacing w:val="1"/>
          <w:sz w:val="28"/>
          <w:szCs w:val="28"/>
          <w:lang w:eastAsia="zh-CN"/>
        </w:rPr>
        <w:t xml:space="preserve">Формируемые компетенции: </w:t>
      </w:r>
      <w:r w:rsidRPr="00EF1C23"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  <w:t>ОК-3, ОК-7, ОК-9, ОПК-2, ПК-3</w:t>
      </w:r>
    </w:p>
    <w:p w:rsidR="00EF1C23" w:rsidRPr="00EF1C23" w:rsidRDefault="00EF1C23" w:rsidP="00EF1C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lang w:eastAsia="zh-CN"/>
        </w:rPr>
        <w:t>Раздел 4. Методы реализации стратегии и контроля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Организационное обеспечение реализации стратегии. Роль руководства в реализации стратегии. Роль организационной структуры в реализации стратегии. Роль человеческого фактора в реализации стратегии. Основные проблемы в процессе реализации стратегии. Барьеры в реализации стратегии. Критерии успешности реализации стратегии. Правила реализации стратегии.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Управление сопротивлением изменениям в процессе реализации стратегии. Типы реакции на изменения и подход к управлению ими. Планирование проведения изменений. Методы управления сопротивлением. Контроль за реализацией стратегии. Требования к системе стратегического контроля. Характеристики эффективного контроля. Система сбалансированных показателей (ССП) как инструмент процесса контроля реализации стратегии. Компоненты ССП. Стратегическая карта и технология ее разработки. Ключевые показатели эффективности и их использование в системе стратегического менеджмента.</w:t>
      </w:r>
    </w:p>
    <w:p w:rsidR="00EF1C23" w:rsidRPr="00EF1C23" w:rsidRDefault="00EF1C23" w:rsidP="00EF1C23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F1C23">
        <w:rPr>
          <w:rFonts w:ascii="Times New Roman" w:eastAsia="Calibri" w:hAnsi="Times New Roman" w:cs="Times New Roman"/>
          <w:bCs/>
          <w:i/>
          <w:color w:val="000000"/>
          <w:spacing w:val="1"/>
          <w:sz w:val="28"/>
          <w:szCs w:val="28"/>
          <w:lang w:eastAsia="zh-CN"/>
        </w:rPr>
        <w:t xml:space="preserve">Формируемые компетенции: </w:t>
      </w:r>
      <w:r w:rsidRPr="00EF1C23"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  <w:t>ОК-3, ОК-7, ОК-9, ОПК-2, ПК-3</w:t>
      </w:r>
    </w:p>
    <w:p w:rsidR="00EF1C23" w:rsidRPr="00EF1C23" w:rsidRDefault="00EF1C23" w:rsidP="00EF1C23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Объем дисциплины 2 </w:t>
      </w:r>
      <w:proofErr w:type="spellStart"/>
      <w:r w:rsidRPr="00EF1C2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з.е</w:t>
      </w:r>
      <w:proofErr w:type="spellEnd"/>
      <w:r w:rsidRPr="00EF1C2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./72 часов, контактные часы - 14 в том числе аудиторных часов 14: 4 часов лекций, 10 часа практических и семинарских занятий.</w:t>
      </w:r>
    </w:p>
    <w:p w:rsidR="00EF1C23" w:rsidRPr="00EF1C23" w:rsidRDefault="00EF1C23" w:rsidP="00EF1C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Форма промежуточного контроля: 2 сем. – зачет</w:t>
      </w:r>
    </w:p>
    <w:p w:rsidR="00EF1C23" w:rsidRPr="00EF1C23" w:rsidRDefault="00EF1C23" w:rsidP="00EF1C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Семестр – 2.</w:t>
      </w:r>
    </w:p>
    <w:p w:rsidR="00EF1C23" w:rsidRPr="00EF1C23" w:rsidRDefault="00EF1C23" w:rsidP="00EF1C2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Разработчик: </w:t>
      </w:r>
      <w:proofErr w:type="spellStart"/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</w:t>
      </w:r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.п.н</w:t>
      </w:r>
      <w:proofErr w:type="spellEnd"/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доц., профессор кафедры Менеджмента и права </w:t>
      </w:r>
      <w:proofErr w:type="spellStart"/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Андруник</w:t>
      </w:r>
      <w:proofErr w:type="spellEnd"/>
      <w:r w:rsidRPr="00EF1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А.П.</w:t>
      </w:r>
    </w:p>
    <w:p w:rsidR="00EA4175" w:rsidRPr="00EF1C23" w:rsidRDefault="00EF1C23" w:rsidP="00EF1C23">
      <w:bookmarkStart w:id="4" w:name="_GoBack"/>
      <w:bookmarkEnd w:id="4"/>
    </w:p>
    <w:sectPr w:rsidR="00EA4175" w:rsidRPr="00EF1C23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2E"/>
    <w:rsid w:val="00165B2E"/>
    <w:rsid w:val="00804E52"/>
    <w:rsid w:val="00CD392B"/>
    <w:rsid w:val="00D46BEC"/>
    <w:rsid w:val="00EF1C23"/>
    <w:rsid w:val="00F2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ДК4</dc:creator>
  <cp:keywords/>
  <dc:description/>
  <cp:lastModifiedBy>ДК4</cp:lastModifiedBy>
  <cp:revision>3</cp:revision>
  <dcterms:created xsi:type="dcterms:W3CDTF">2016-10-25T08:24:00Z</dcterms:created>
  <dcterms:modified xsi:type="dcterms:W3CDTF">2016-10-25T08:44:00Z</dcterms:modified>
</cp:coreProperties>
</file>